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E9D9F" w14:textId="77777777" w:rsidR="00890C35" w:rsidRPr="00890C35" w:rsidRDefault="00890C35" w:rsidP="00A825FA">
      <w:pPr>
        <w:pBdr>
          <w:top w:val="nil"/>
          <w:left w:val="nil"/>
          <w:bottom w:val="nil"/>
          <w:right w:val="nil"/>
          <w:between w:val="nil"/>
        </w:pBdr>
        <w:tabs>
          <w:tab w:val="left" w:pos="7155"/>
          <w:tab w:val="left" w:pos="7778"/>
        </w:tabs>
        <w:spacing w:line="276" w:lineRule="auto"/>
        <w:jc w:val="center"/>
        <w:rPr>
          <w:rFonts w:ascii="UTM Neo Sans Intel" w:hAnsi="UTM Neo Sans Intel"/>
          <w:b/>
          <w:bCs/>
          <w:i/>
          <w:iCs/>
          <w:sz w:val="16"/>
          <w:szCs w:val="16"/>
        </w:rPr>
      </w:pPr>
    </w:p>
    <w:p w14:paraId="717D9178" w14:textId="328907C3" w:rsidR="00674710" w:rsidRPr="00674710" w:rsidRDefault="00674710" w:rsidP="00674710">
      <w:pPr>
        <w:pBdr>
          <w:top w:val="nil"/>
          <w:left w:val="nil"/>
          <w:bottom w:val="nil"/>
          <w:right w:val="nil"/>
          <w:between w:val="nil"/>
        </w:pBdr>
        <w:tabs>
          <w:tab w:val="left" w:pos="7155"/>
          <w:tab w:val="left" w:pos="7778"/>
        </w:tabs>
        <w:spacing w:line="276" w:lineRule="auto"/>
        <w:jc w:val="center"/>
        <w:rPr>
          <w:rFonts w:ascii="UTM Neo Sans Intel" w:hAnsi="UTM Neo Sans Intel"/>
          <w:b/>
          <w:bCs/>
          <w:i/>
          <w:iCs/>
          <w:sz w:val="28"/>
          <w:szCs w:val="28"/>
        </w:rPr>
      </w:pPr>
      <w:r w:rsidRPr="00674710">
        <w:rPr>
          <w:rFonts w:ascii="UTM Neo Sans Intel" w:hAnsi="UTM Neo Sans Intel"/>
          <w:b/>
          <w:bCs/>
          <w:i/>
          <w:iCs/>
          <w:sz w:val="28"/>
          <w:szCs w:val="28"/>
        </w:rPr>
        <w:t xml:space="preserve">CULTIVATION GUIDE FOR HN88 F1 HYBRID WAXY MAIZE </w:t>
      </w:r>
    </w:p>
    <w:p w14:paraId="11F68524" w14:textId="3516AF5B" w:rsidR="00A825FA" w:rsidRPr="00A825FA" w:rsidRDefault="00A825FA" w:rsidP="00A825FA">
      <w:pPr>
        <w:pBdr>
          <w:top w:val="nil"/>
          <w:left w:val="nil"/>
          <w:bottom w:val="nil"/>
          <w:right w:val="nil"/>
          <w:between w:val="nil"/>
        </w:pBdr>
        <w:tabs>
          <w:tab w:val="left" w:pos="7155"/>
          <w:tab w:val="left" w:pos="7778"/>
        </w:tabs>
        <w:spacing w:line="276" w:lineRule="auto"/>
        <w:jc w:val="center"/>
        <w:rPr>
          <w:rFonts w:ascii="UTM Neo Sans Intel" w:hAnsi="UTM Neo Sans Intel"/>
          <w:i/>
          <w:iCs/>
          <w:sz w:val="24"/>
          <w:szCs w:val="24"/>
        </w:rPr>
      </w:pPr>
      <w:r w:rsidRPr="00A825FA">
        <w:rPr>
          <w:rFonts w:ascii="UTM Neo Sans Intel" w:hAnsi="UTM Neo Sans Intel"/>
          <w:i/>
          <w:iCs/>
          <w:sz w:val="24"/>
          <w:szCs w:val="24"/>
        </w:rPr>
        <w:t>(Applicable in Vietnam - for reference only)</w:t>
      </w:r>
    </w:p>
    <w:p w14:paraId="78170A46" w14:textId="77777777" w:rsidR="00A825FA" w:rsidRPr="00A825FA" w:rsidRDefault="00A825FA" w:rsidP="00A825FA">
      <w:pPr>
        <w:pBdr>
          <w:top w:val="nil"/>
          <w:left w:val="nil"/>
          <w:bottom w:val="nil"/>
          <w:right w:val="nil"/>
          <w:between w:val="nil"/>
        </w:pBdr>
        <w:tabs>
          <w:tab w:val="left" w:pos="7155"/>
          <w:tab w:val="left" w:pos="7778"/>
        </w:tabs>
        <w:spacing w:line="276" w:lineRule="auto"/>
        <w:jc w:val="center"/>
        <w:rPr>
          <w:rFonts w:ascii="UTM Neo Sans Intel" w:eastAsia="Times New Roman" w:hAnsi="UTM Neo Sans Intel" w:cs="Times New Roman"/>
          <w:sz w:val="22"/>
          <w:szCs w:val="22"/>
        </w:rPr>
      </w:pPr>
    </w:p>
    <w:p w14:paraId="66AFDEEF" w14:textId="77777777" w:rsidR="00674710" w:rsidRDefault="00674710" w:rsidP="00674710">
      <w:pPr>
        <w:tabs>
          <w:tab w:val="left" w:pos="7155"/>
          <w:tab w:val="left" w:pos="7778"/>
        </w:tabs>
        <w:spacing w:line="276" w:lineRule="auto"/>
        <w:jc w:val="both"/>
        <w:rPr>
          <w:rFonts w:ascii="UTM Neo Sans Intel" w:eastAsia="Times New Roman" w:hAnsi="UTM Neo Sans Intel" w:cs="Times New Roman"/>
          <w:b/>
          <w:bCs/>
          <w:sz w:val="22"/>
          <w:szCs w:val="22"/>
        </w:rPr>
      </w:pPr>
      <w:r w:rsidRPr="00674710">
        <w:rPr>
          <w:rFonts w:ascii="UTM Neo Sans Intel" w:eastAsia="Times New Roman" w:hAnsi="UTM Neo Sans Intel" w:cs="Times New Roman"/>
          <w:b/>
          <w:bCs/>
          <w:sz w:val="22"/>
          <w:szCs w:val="22"/>
        </w:rPr>
        <w:t>I. Origin and Key Characteristics</w:t>
      </w:r>
    </w:p>
    <w:p w14:paraId="5001BC5D" w14:textId="77777777" w:rsidR="00674710" w:rsidRDefault="00674710" w:rsidP="00674710">
      <w:pPr>
        <w:tabs>
          <w:tab w:val="left" w:pos="567"/>
          <w:tab w:val="left" w:pos="7778"/>
        </w:tabs>
        <w:spacing w:line="276" w:lineRule="auto"/>
        <w:jc w:val="both"/>
        <w:rPr>
          <w:rFonts w:ascii="UTM Neo Sans Intel" w:eastAsia="Times New Roman" w:hAnsi="UTM Neo Sans Intel" w:cs="Times New Roman"/>
          <w:b/>
          <w:bCs/>
          <w:sz w:val="22"/>
          <w:szCs w:val="22"/>
        </w:rPr>
      </w:pPr>
      <w:r>
        <w:rPr>
          <w:rFonts w:ascii="UTM Neo Sans Intel" w:eastAsia="Times New Roman" w:hAnsi="UTM Neo Sans Intel" w:cs="Times New Roman"/>
          <w:b/>
          <w:bCs/>
          <w:sz w:val="22"/>
          <w:szCs w:val="22"/>
        </w:rPr>
        <w:tab/>
      </w:r>
      <w:r w:rsidRPr="00674710">
        <w:rPr>
          <w:rFonts w:ascii="UTM Neo Sans Intel" w:eastAsia="Times New Roman" w:hAnsi="UTM Neo Sans Intel" w:cs="Times New Roman"/>
          <w:b/>
          <w:bCs/>
          <w:sz w:val="22"/>
          <w:szCs w:val="22"/>
        </w:rPr>
        <w:t>1. Origin:</w:t>
      </w:r>
      <w:r w:rsidRPr="00674710">
        <w:rPr>
          <w:rFonts w:ascii="UTM Neo Sans Intel" w:eastAsia="Times New Roman" w:hAnsi="UTM Neo Sans Intel" w:cs="Times New Roman"/>
          <w:sz w:val="22"/>
          <w:szCs w:val="22"/>
        </w:rPr>
        <w:t xml:space="preserve"> HN88 is a hybrid waxy maize variety proprietary to Vietnam Seed Group Joint Stock Company (Vinaseed). The variety has been officially granted an extension of its circulation authorization by the Department of Crop Production under Decision No. CNLH.2022.111.</w:t>
      </w:r>
    </w:p>
    <w:p w14:paraId="360FA261" w14:textId="77777777" w:rsidR="00674710" w:rsidRDefault="00674710" w:rsidP="00674710">
      <w:pPr>
        <w:tabs>
          <w:tab w:val="left" w:pos="567"/>
          <w:tab w:val="left" w:pos="7778"/>
        </w:tabs>
        <w:spacing w:line="276" w:lineRule="auto"/>
        <w:jc w:val="both"/>
        <w:rPr>
          <w:rFonts w:ascii="UTM Neo Sans Intel" w:eastAsia="Times New Roman" w:hAnsi="UTM Neo Sans Intel" w:cs="Times New Roman"/>
          <w:b/>
          <w:bCs/>
          <w:sz w:val="22"/>
          <w:szCs w:val="22"/>
        </w:rPr>
      </w:pPr>
      <w:r w:rsidRPr="00674710">
        <w:rPr>
          <w:rFonts w:ascii="UTM Neo Sans Intel" w:eastAsia="Times New Roman" w:hAnsi="UTM Neo Sans Intel" w:cs="Times New Roman"/>
          <w:b/>
          <w:bCs/>
          <w:sz w:val="22"/>
          <w:szCs w:val="22"/>
        </w:rPr>
        <w:tab/>
      </w:r>
      <w:r w:rsidRPr="00674710">
        <w:rPr>
          <w:rFonts w:ascii="UTM Neo Sans Intel" w:eastAsia="Times New Roman" w:hAnsi="UTM Neo Sans Intel" w:cs="Times New Roman"/>
          <w:b/>
          <w:bCs/>
          <w:sz w:val="22"/>
          <w:szCs w:val="22"/>
        </w:rPr>
        <w:t>2. Days from sowing to 50% silking</w:t>
      </w:r>
      <w:r w:rsidRPr="00674710">
        <w:rPr>
          <w:rFonts w:ascii="UTM Neo Sans Intel" w:eastAsia="Times New Roman" w:hAnsi="UTM Neo Sans Intel" w:cs="Times New Roman"/>
          <w:sz w:val="22"/>
          <w:szCs w:val="22"/>
        </w:rPr>
        <w:t>: 46 - 58 days, depending on growing season, ecological zone, and cultivation conditions.</w:t>
      </w:r>
    </w:p>
    <w:p w14:paraId="11641D37" w14:textId="77777777" w:rsidR="00674710" w:rsidRDefault="00674710" w:rsidP="00674710">
      <w:pPr>
        <w:tabs>
          <w:tab w:val="left" w:pos="567"/>
          <w:tab w:val="left" w:pos="7778"/>
        </w:tabs>
        <w:spacing w:line="276" w:lineRule="auto"/>
        <w:jc w:val="both"/>
        <w:rPr>
          <w:rFonts w:ascii="UTM Neo Sans Intel" w:eastAsia="Times New Roman" w:hAnsi="UTM Neo Sans Intel" w:cs="Times New Roman"/>
          <w:b/>
          <w:bCs/>
          <w:sz w:val="22"/>
          <w:szCs w:val="22"/>
        </w:rPr>
      </w:pPr>
      <w:r>
        <w:rPr>
          <w:rFonts w:ascii="UTM Neo Sans Intel" w:eastAsia="Times New Roman" w:hAnsi="UTM Neo Sans Intel" w:cs="Times New Roman"/>
          <w:b/>
          <w:bCs/>
          <w:sz w:val="22"/>
          <w:szCs w:val="22"/>
        </w:rPr>
        <w:tab/>
      </w:r>
      <w:r w:rsidRPr="00674710">
        <w:rPr>
          <w:rFonts w:ascii="UTM Neo Sans Intel" w:eastAsia="Times New Roman" w:hAnsi="UTM Neo Sans Intel" w:cs="Times New Roman"/>
          <w:b/>
          <w:bCs/>
          <w:sz w:val="22"/>
          <w:szCs w:val="22"/>
        </w:rPr>
        <w:t xml:space="preserve">3. Morphological characteristics and resilience: </w:t>
      </w:r>
      <w:r w:rsidRPr="00674710">
        <w:rPr>
          <w:rFonts w:ascii="UTM Neo Sans Intel" w:eastAsia="Times New Roman" w:hAnsi="UTM Neo Sans Intel" w:cs="Times New Roman"/>
          <w:sz w:val="22"/>
          <w:szCs w:val="22"/>
        </w:rPr>
        <w:t>Plant height of 170 - 194 cm, ear height of 75 - 82 cm. Open canopy, deep green foliage that remains green until harvest. Ear length of 16 - 19 cm, diameter of 4.2 - 4.5 cm, with excellent tip-fill and dark green, tightly wrapped husks. Straight, uniform rows with large, deep-set kernels. The number of rows per ear is 12 - 14, with 27 - 31 kernels per row.</w:t>
      </w:r>
    </w:p>
    <w:p w14:paraId="6409EEDD" w14:textId="48C1858C"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b/>
          <w:bCs/>
          <w:sz w:val="22"/>
          <w:szCs w:val="22"/>
        </w:rPr>
      </w:pPr>
      <w:r w:rsidRPr="00674710">
        <w:rPr>
          <w:rFonts w:ascii="UTM Neo Sans Intel" w:eastAsia="Times New Roman" w:hAnsi="UTM Neo Sans Intel" w:cs="Times New Roman"/>
          <w:b/>
          <w:bCs/>
          <w:sz w:val="22"/>
          <w:szCs w:val="22"/>
        </w:rPr>
        <w:tab/>
      </w:r>
      <w:r w:rsidRPr="00674710">
        <w:rPr>
          <w:rFonts w:ascii="UTM Neo Sans Intel" w:eastAsia="Times New Roman" w:hAnsi="UTM Neo Sans Intel" w:cs="Times New Roman"/>
          <w:b/>
          <w:bCs/>
          <w:sz w:val="22"/>
          <w:szCs w:val="22"/>
        </w:rPr>
        <w:t>4. Yield and quality:</w:t>
      </w:r>
      <w:r w:rsidRPr="00674710">
        <w:rPr>
          <w:rFonts w:ascii="UTM Neo Sans Intel" w:eastAsia="Times New Roman" w:hAnsi="UTM Neo Sans Intel" w:cs="Times New Roman"/>
          <w:sz w:val="22"/>
          <w:szCs w:val="22"/>
        </w:rPr>
        <w:t xml:space="preserve"> Fresh ear yield is high, reaching up to 18 - 20 tons/ha under intensive farming conditions. The eating quality for fresh consumption is exceptional, characterized by a perfect combination of tenderness, crispiness, sweetness, rich flavor, and a pleasant aroma.</w:t>
      </w:r>
    </w:p>
    <w:p w14:paraId="27F408CD" w14:textId="50F34AAF"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b/>
          <w:bCs/>
          <w:sz w:val="22"/>
          <w:szCs w:val="22"/>
          <w:lang w:val="en-US"/>
        </w:rPr>
      </w:pPr>
      <w:r w:rsidRPr="00674710">
        <w:rPr>
          <w:rFonts w:ascii="UTM Neo Sans Intel" w:eastAsia="Times New Roman" w:hAnsi="UTM Neo Sans Intel" w:cs="Times New Roman"/>
          <w:b/>
          <w:bCs/>
          <w:sz w:val="22"/>
          <w:szCs w:val="22"/>
          <w:lang w:val="en-US"/>
        </w:rPr>
        <w:t>II. Cultivation Technical Requirements</w:t>
      </w:r>
    </w:p>
    <w:p w14:paraId="58026A20" w14:textId="5C456D22" w:rsidR="00674710" w:rsidRPr="00674710" w:rsidRDefault="00674710" w:rsidP="00674710">
      <w:pPr>
        <w:tabs>
          <w:tab w:val="left" w:pos="567"/>
          <w:tab w:val="left" w:pos="1276"/>
        </w:tabs>
        <w:spacing w:line="276" w:lineRule="auto"/>
        <w:jc w:val="both"/>
        <w:rPr>
          <w:rFonts w:ascii="UTM Neo Sans Intel" w:eastAsia="Times New Roman" w:hAnsi="UTM Neo Sans Intel" w:cs="Times New Roman"/>
          <w:b/>
          <w:bCs/>
          <w:sz w:val="22"/>
          <w:szCs w:val="22"/>
          <w:lang w:val="en-US"/>
        </w:rPr>
      </w:pPr>
      <w:r>
        <w:rPr>
          <w:rFonts w:ascii="UTM Neo Sans Intel" w:eastAsia="Times New Roman" w:hAnsi="UTM Neo Sans Intel" w:cs="Times New Roman"/>
          <w:b/>
          <w:bCs/>
          <w:sz w:val="22"/>
          <w:szCs w:val="22"/>
          <w:lang w:val="en-US"/>
        </w:rPr>
        <w:tab/>
      </w:r>
      <w:r w:rsidRPr="00674710">
        <w:rPr>
          <w:rFonts w:ascii="UTM Neo Sans Intel" w:eastAsia="Times New Roman" w:hAnsi="UTM Neo Sans Intel" w:cs="Times New Roman"/>
          <w:b/>
          <w:bCs/>
          <w:sz w:val="22"/>
          <w:szCs w:val="22"/>
          <w:lang w:val="en-US"/>
        </w:rPr>
        <w:t xml:space="preserve">1. Planting density and spacing: </w:t>
      </w:r>
    </w:p>
    <w:p w14:paraId="6FAE3CAB" w14:textId="7273DA1F"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sz w:val="22"/>
          <w:szCs w:val="22"/>
          <w:lang w:val="en-US"/>
        </w:rPr>
        <w:t xml:space="preserve">- </w:t>
      </w:r>
      <w:r w:rsidRPr="00674710">
        <w:rPr>
          <w:rFonts w:ascii="UTM Neo Sans Intel" w:eastAsia="Times New Roman" w:hAnsi="UTM Neo Sans Intel" w:cs="Times New Roman"/>
          <w:sz w:val="22"/>
          <w:szCs w:val="22"/>
          <w:lang w:val="en-US"/>
        </w:rPr>
        <w:t xml:space="preserve">In Northern provinces, the planting density is 57,000 plants/ha, with a row-to-row and plant-to-plant spacing of 70 x 25 cm. </w:t>
      </w:r>
    </w:p>
    <w:p w14:paraId="0A5A4D4F" w14:textId="1AF63615"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sz w:val="22"/>
          <w:szCs w:val="22"/>
          <w:lang w:val="en-US"/>
        </w:rPr>
        <w:t xml:space="preserve">- </w:t>
      </w:r>
      <w:r w:rsidRPr="00674710">
        <w:rPr>
          <w:rFonts w:ascii="UTM Neo Sans Intel" w:eastAsia="Times New Roman" w:hAnsi="UTM Neo Sans Intel" w:cs="Times New Roman"/>
          <w:sz w:val="22"/>
          <w:szCs w:val="22"/>
          <w:lang w:val="en-US"/>
        </w:rPr>
        <w:t xml:space="preserve">In Southern provinces, the planting density is 66,000 plants/ha, with a spacing of 70 x 20 cm. </w:t>
      </w:r>
    </w:p>
    <w:p w14:paraId="45547371" w14:textId="06DDA579"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sz w:val="22"/>
          <w:szCs w:val="22"/>
          <w:lang w:val="en-US"/>
        </w:rPr>
        <w:t xml:space="preserve">- </w:t>
      </w:r>
      <w:r w:rsidRPr="00674710">
        <w:rPr>
          <w:rFonts w:ascii="UTM Neo Sans Intel" w:eastAsia="Times New Roman" w:hAnsi="UTM Neo Sans Intel" w:cs="Times New Roman"/>
          <w:sz w:val="22"/>
          <w:szCs w:val="22"/>
          <w:lang w:val="en-US"/>
        </w:rPr>
        <w:t>The seeding rate is 16 - 18 kg/ha. Sow 1 seed per hill, and sow an additional 10% of the seeds in seedling trays for gap-filling to ensure the required planting density.</w:t>
      </w:r>
    </w:p>
    <w:p w14:paraId="53DD822D" w14:textId="13EBAC3B"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b/>
          <w:bCs/>
          <w:sz w:val="22"/>
          <w:szCs w:val="22"/>
          <w:lang w:val="en-US"/>
        </w:rPr>
      </w:pPr>
      <w:r>
        <w:rPr>
          <w:rFonts w:ascii="UTM Neo Sans Intel" w:eastAsia="Times New Roman" w:hAnsi="UTM Neo Sans Intel" w:cs="Times New Roman"/>
          <w:b/>
          <w:bCs/>
          <w:sz w:val="22"/>
          <w:szCs w:val="22"/>
          <w:lang w:val="en-US"/>
        </w:rPr>
        <w:tab/>
      </w:r>
      <w:r w:rsidRPr="00674710">
        <w:rPr>
          <w:rFonts w:ascii="UTM Neo Sans Intel" w:eastAsia="Times New Roman" w:hAnsi="UTM Neo Sans Intel" w:cs="Times New Roman"/>
          <w:b/>
          <w:bCs/>
          <w:sz w:val="22"/>
          <w:szCs w:val="22"/>
          <w:lang w:val="en-US"/>
        </w:rPr>
        <w:t xml:space="preserve">2. Fertilizers and application methods: </w:t>
      </w:r>
    </w:p>
    <w:p w14:paraId="73D7E72A" w14:textId="76A57501"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sz w:val="22"/>
          <w:szCs w:val="22"/>
          <w:lang w:val="en-US"/>
        </w:rPr>
        <w:tab/>
      </w:r>
      <w:r w:rsidRPr="00674710">
        <w:rPr>
          <w:rFonts w:ascii="UTM Neo Sans Intel" w:eastAsia="Times New Roman" w:hAnsi="UTM Neo Sans Intel" w:cs="Times New Roman"/>
          <w:sz w:val="22"/>
          <w:szCs w:val="22"/>
          <w:lang w:val="en-US"/>
        </w:rPr>
        <w:t xml:space="preserve">The type and dosage of fertilizers should be appropriately selected depending on soil conditions and growing seasons. </w:t>
      </w:r>
    </w:p>
    <w:p w14:paraId="3CCC28E6"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sidRPr="00674710">
        <w:rPr>
          <w:rFonts w:ascii="UTM Neo Sans Intel" w:eastAsia="Times New Roman" w:hAnsi="UTM Neo Sans Intel" w:cs="Times New Roman"/>
          <w:sz w:val="22"/>
          <w:szCs w:val="22"/>
          <w:lang w:val="en-US"/>
        </w:rPr>
        <w:t>Below is the reference fertilizer application rate per hectare: 10 - 12 tons of organic fertilizer (or 3 tons of bio-fertilizer) + 240 - 260 kg of Urea + 450 - 500 kg of Superphosphate + 100 - 120 kg of Potassium Chloride (Muriate of Potash).</w:t>
      </w:r>
    </w:p>
    <w:p w14:paraId="7F49D618"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sidRPr="00674710">
        <w:rPr>
          <w:rFonts w:ascii="UTM Neo Sans Intel" w:eastAsia="Times New Roman" w:hAnsi="UTM Neo Sans Intel" w:cs="Times New Roman"/>
          <w:sz w:val="22"/>
          <w:szCs w:val="22"/>
          <w:lang w:val="en-US"/>
        </w:rPr>
        <w:t>- Basal dressing: Apply 100% of the organic fertilizer (or bio-fertilizer) and superphosphate (superphosphate can be soaked in liquid manure to water the seedlings) + 20% of the total nitrogen (urea) fertilizer.</w:t>
      </w:r>
    </w:p>
    <w:p w14:paraId="4EA74F0E"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sidRPr="00674710">
        <w:rPr>
          <w:rFonts w:ascii="UTM Neo Sans Intel" w:eastAsia="Times New Roman" w:hAnsi="UTM Neo Sans Intel" w:cs="Times New Roman"/>
          <w:sz w:val="22"/>
          <w:szCs w:val="22"/>
          <w:lang w:val="en-US"/>
        </w:rPr>
        <w:t>- First top-dressing (at the 5 - 7 leaf stage): Apply 30% of the total nitrogen fertilizer + 40% of the total potassium fertilizer, combined with soil crust breaking.</w:t>
      </w:r>
    </w:p>
    <w:p w14:paraId="03909B24"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sidRPr="00674710">
        <w:rPr>
          <w:rFonts w:ascii="UTM Neo Sans Intel" w:eastAsia="Times New Roman" w:hAnsi="UTM Neo Sans Intel" w:cs="Times New Roman"/>
          <w:sz w:val="22"/>
          <w:szCs w:val="22"/>
          <w:lang w:val="en-US"/>
        </w:rPr>
        <w:t>- Second top-dressing (at the 9 - 10 leaf stage): Apply 50% of the total nitrogen fertilizer + 40% of the total potassium fertilizer, combined with high hilling up.</w:t>
      </w:r>
    </w:p>
    <w:p w14:paraId="5D9C5964"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r w:rsidRPr="00674710">
        <w:rPr>
          <w:rFonts w:ascii="UTM Neo Sans Intel" w:eastAsia="Times New Roman" w:hAnsi="UTM Neo Sans Intel" w:cs="Times New Roman"/>
          <w:sz w:val="22"/>
          <w:szCs w:val="22"/>
          <w:lang w:val="en-US"/>
        </w:rPr>
        <w:t>- Third top-dressing (5 - 7 days before tasseling): Apply all the remaining fertilizers.</w:t>
      </w:r>
    </w:p>
    <w:p w14:paraId="521E3CB3" w14:textId="77777777" w:rsidR="00674710" w:rsidRPr="00674710" w:rsidRDefault="00674710" w:rsidP="00674710">
      <w:pPr>
        <w:tabs>
          <w:tab w:val="left" w:pos="7155"/>
          <w:tab w:val="left" w:pos="7778"/>
        </w:tabs>
        <w:spacing w:line="276" w:lineRule="auto"/>
        <w:jc w:val="both"/>
        <w:rPr>
          <w:rFonts w:ascii="UTM Neo Sans Intel" w:eastAsia="Times New Roman" w:hAnsi="UTM Neo Sans Intel" w:cs="Times New Roman"/>
          <w:sz w:val="22"/>
          <w:szCs w:val="22"/>
          <w:lang w:val="en-US"/>
        </w:rPr>
      </w:pPr>
    </w:p>
    <w:p w14:paraId="6D0B8407" w14:textId="65D0529B" w:rsidR="00674710" w:rsidRPr="00674710" w:rsidRDefault="00674710" w:rsidP="00674710">
      <w:pPr>
        <w:tabs>
          <w:tab w:val="left" w:pos="567"/>
          <w:tab w:val="left" w:pos="709"/>
          <w:tab w:val="left" w:pos="5103"/>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sz w:val="22"/>
          <w:szCs w:val="22"/>
          <w:lang w:val="en-US"/>
        </w:rPr>
        <w:lastRenderedPageBreak/>
        <w:tab/>
      </w:r>
      <w:r w:rsidRPr="00674710">
        <w:rPr>
          <w:rFonts w:ascii="UTM Neo Sans Intel" w:eastAsia="Times New Roman" w:hAnsi="UTM Neo Sans Intel" w:cs="Times New Roman"/>
          <w:sz w:val="22"/>
          <w:szCs w:val="22"/>
          <w:lang w:val="en-US"/>
        </w:rPr>
        <w:t>Fertilizers should be applied approximately 10 cm away from the corn base. If planting on paddy fields with dug trenches, mud from the trenches can be scooped up to cover the fertilizer, which prevents fertilizer loss and suppresses weed growth. On trenchless fields, hill up the soil from between the rows to cover the fertilizer and mound the base of the corn plants.</w:t>
      </w:r>
    </w:p>
    <w:p w14:paraId="6DD4FB0C" w14:textId="61378760"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b/>
          <w:bCs/>
          <w:sz w:val="22"/>
          <w:szCs w:val="22"/>
          <w:lang w:val="en-US"/>
        </w:rPr>
        <w:tab/>
      </w:r>
      <w:r w:rsidRPr="00674710">
        <w:rPr>
          <w:rFonts w:ascii="UTM Neo Sans Intel" w:eastAsia="Times New Roman" w:hAnsi="UTM Neo Sans Intel" w:cs="Times New Roman"/>
          <w:b/>
          <w:bCs/>
          <w:sz w:val="22"/>
          <w:szCs w:val="22"/>
          <w:lang w:val="en-US"/>
        </w:rPr>
        <w:t>3. Pest and disease management:</w:t>
      </w:r>
      <w:r w:rsidRPr="00674710">
        <w:rPr>
          <w:rFonts w:ascii="UTM Neo Sans Intel" w:eastAsia="Times New Roman" w:hAnsi="UTM Neo Sans Intel" w:cs="Times New Roman"/>
          <w:sz w:val="22"/>
          <w:szCs w:val="22"/>
          <w:lang w:val="en-US"/>
        </w:rPr>
        <w:t xml:space="preserve"> Regularly scout fields for early detection and timely control of pests and diseases in accordance with the guidelines from local plant protection authorities. For targeted control, the following specific crop protection products can be referenced for use: Dual Gold 960EC (for pre-emergence weed control) or Calaris Xtra 275SC (for post-emergence weed control); Ridomil Gold 68WG (for leaf spot and rust diseases); Anvil 5SC (for banded leaf and sheath blight); and Virtako 40WG or Solo 350SC (for corn borers and fall armyworms); Opal 50WG (for aphids).</w:t>
      </w:r>
    </w:p>
    <w:p w14:paraId="1EAFFAF7" w14:textId="53239FA6"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b/>
          <w:bCs/>
          <w:sz w:val="22"/>
          <w:szCs w:val="22"/>
          <w:lang w:val="en-US"/>
        </w:rPr>
        <w:tab/>
      </w:r>
      <w:r w:rsidRPr="00674710">
        <w:rPr>
          <w:rFonts w:ascii="UTM Neo Sans Intel" w:eastAsia="Times New Roman" w:hAnsi="UTM Neo Sans Intel" w:cs="Times New Roman"/>
          <w:b/>
          <w:bCs/>
          <w:sz w:val="22"/>
          <w:szCs w:val="22"/>
          <w:lang w:val="en-US"/>
        </w:rPr>
        <w:t>4. Harvesting:</w:t>
      </w:r>
      <w:r w:rsidRPr="00674710">
        <w:rPr>
          <w:rFonts w:ascii="UTM Neo Sans Intel" w:eastAsia="Times New Roman" w:hAnsi="UTM Neo Sans Intel" w:cs="Times New Roman"/>
          <w:sz w:val="22"/>
          <w:szCs w:val="22"/>
          <w:lang w:val="en-US"/>
        </w:rPr>
        <w:t xml:space="preserve"> Harvest for fresh consumption approximately 18 - 20 days after silking.</w:t>
      </w:r>
    </w:p>
    <w:p w14:paraId="68F9F1AE" w14:textId="1277ACA0"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sz w:val="22"/>
          <w:szCs w:val="22"/>
          <w:lang w:val="en-US"/>
        </w:rPr>
      </w:pPr>
      <w:r>
        <w:rPr>
          <w:rFonts w:ascii="UTM Neo Sans Intel" w:eastAsia="Times New Roman" w:hAnsi="UTM Neo Sans Intel" w:cs="Times New Roman"/>
          <w:b/>
          <w:bCs/>
          <w:sz w:val="22"/>
          <w:szCs w:val="22"/>
          <w:lang w:val="en-US"/>
        </w:rPr>
        <w:tab/>
      </w:r>
      <w:r w:rsidRPr="00674710">
        <w:rPr>
          <w:rFonts w:ascii="UTM Neo Sans Intel" w:eastAsia="Times New Roman" w:hAnsi="UTM Neo Sans Intel" w:cs="Times New Roman"/>
          <w:b/>
          <w:bCs/>
          <w:sz w:val="22"/>
          <w:szCs w:val="22"/>
          <w:lang w:val="en-US"/>
        </w:rPr>
        <w:t>5. Important notes:</w:t>
      </w:r>
      <w:r w:rsidRPr="00674710">
        <w:rPr>
          <w:rFonts w:ascii="UTM Neo Sans Intel" w:eastAsia="Times New Roman" w:hAnsi="UTM Neo Sans Intel" w:cs="Times New Roman"/>
          <w:sz w:val="22"/>
          <w:szCs w:val="22"/>
          <w:lang w:val="en-US"/>
        </w:rPr>
        <w:t xml:space="preserve"> Schedule the growing seasons properly to avoid the tasseling and silking stages occurring during periods of extreme temperatures, specifically above 35</w:t>
      </w:r>
      <w:r w:rsidRPr="00674710">
        <w:rPr>
          <w:rFonts w:ascii="Calibri" w:eastAsia="Times New Roman" w:hAnsi="Calibri" w:cs="Calibri"/>
          <w:sz w:val="22"/>
          <w:szCs w:val="22"/>
          <w:lang w:val="en-US"/>
        </w:rPr>
        <w:t>°</w:t>
      </w:r>
      <w:r w:rsidRPr="00674710">
        <w:rPr>
          <w:rFonts w:ascii="UTM Neo Sans Intel" w:eastAsia="Times New Roman" w:hAnsi="UTM Neo Sans Intel" w:cs="Times New Roman"/>
          <w:sz w:val="22"/>
          <w:szCs w:val="22"/>
          <w:lang w:val="en-US"/>
        </w:rPr>
        <w:t>C or below 15</w:t>
      </w:r>
      <w:r w:rsidRPr="00674710">
        <w:rPr>
          <w:rFonts w:ascii="Calibri" w:eastAsia="Times New Roman" w:hAnsi="Calibri" w:cs="Calibri"/>
          <w:sz w:val="22"/>
          <w:szCs w:val="22"/>
          <w:lang w:val="en-US"/>
        </w:rPr>
        <w:t>°</w:t>
      </w:r>
      <w:r w:rsidRPr="00674710">
        <w:rPr>
          <w:rFonts w:ascii="UTM Neo Sans Intel" w:eastAsia="Times New Roman" w:hAnsi="UTM Neo Sans Intel" w:cs="Times New Roman"/>
          <w:sz w:val="22"/>
          <w:szCs w:val="22"/>
          <w:lang w:val="en-US"/>
        </w:rPr>
        <w:t>C. Implement isolation in both time (a minimum of 15 days) and space (utilizing physical barriers or maintaining a minimum distance of 300 meters) from field corn or other waxy maize varieties. This ensures optimal eating quality and maintains the distinctive kernel coloration of the variety. Do not use harvested commercial grain as seed for the subsequent season.</w:t>
      </w:r>
    </w:p>
    <w:p w14:paraId="57B98DAE" w14:textId="142625EF" w:rsidR="00674710" w:rsidRPr="00674710" w:rsidRDefault="00674710" w:rsidP="00674710">
      <w:pPr>
        <w:tabs>
          <w:tab w:val="left" w:pos="567"/>
          <w:tab w:val="left" w:pos="7778"/>
        </w:tabs>
        <w:spacing w:line="276" w:lineRule="auto"/>
        <w:jc w:val="both"/>
        <w:rPr>
          <w:rFonts w:ascii="UTM Neo Sans Intel" w:eastAsia="Times New Roman" w:hAnsi="UTM Neo Sans Intel" w:cs="Times New Roman"/>
          <w:i/>
          <w:iCs/>
          <w:sz w:val="22"/>
          <w:szCs w:val="22"/>
          <w:lang w:val="en-US"/>
        </w:rPr>
      </w:pPr>
      <w:r>
        <w:rPr>
          <w:rFonts w:ascii="UTM Neo Sans Intel" w:eastAsia="Times New Roman" w:hAnsi="UTM Neo Sans Intel" w:cs="Times New Roman"/>
          <w:sz w:val="22"/>
          <w:szCs w:val="22"/>
          <w:lang w:val="en-US"/>
        </w:rPr>
        <w:tab/>
      </w:r>
      <w:r w:rsidRPr="00674710">
        <w:rPr>
          <w:rFonts w:ascii="UTM Neo Sans Intel" w:eastAsia="Times New Roman" w:hAnsi="UTM Neo Sans Intel" w:cs="Times New Roman"/>
          <w:i/>
          <w:iCs/>
          <w:sz w:val="22"/>
          <w:szCs w:val="22"/>
          <w:lang w:val="en-US"/>
        </w:rPr>
        <w:t>This guide is for reference purposes only and may be adjusted to suit the specific weather conditions, soil types, and local farming practices of each region.</w:t>
      </w:r>
    </w:p>
    <w:sectPr w:rsidR="00674710" w:rsidRPr="00674710" w:rsidSect="00890C35">
      <w:headerReference w:type="default" r:id="rId7"/>
      <w:pgSz w:w="11906" w:h="16838" w:code="9"/>
      <w:pgMar w:top="1843"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2F1A" w14:textId="77777777" w:rsidR="008721CB" w:rsidRDefault="008721CB" w:rsidP="008446B6">
      <w:r>
        <w:separator/>
      </w:r>
    </w:p>
  </w:endnote>
  <w:endnote w:type="continuationSeparator" w:id="0">
    <w:p w14:paraId="6052D733" w14:textId="77777777" w:rsidR="008721CB" w:rsidRDefault="008721CB" w:rsidP="0084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3"/>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UTM Neo Sans Intel">
    <w:panose1 w:val="02040603050506020204"/>
    <w:charset w:val="00"/>
    <w:family w:val="roman"/>
    <w:pitch w:val="variable"/>
    <w:sig w:usb0="00000007" w:usb1="00000000" w:usb2="00000000" w:usb3="00000000" w:csb0="00000003"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7B94" w14:textId="77777777" w:rsidR="008721CB" w:rsidRDefault="008721CB" w:rsidP="008446B6">
      <w:r>
        <w:separator/>
      </w:r>
    </w:p>
  </w:footnote>
  <w:footnote w:type="continuationSeparator" w:id="0">
    <w:p w14:paraId="5E924C1F" w14:textId="77777777" w:rsidR="008721CB" w:rsidRDefault="008721CB" w:rsidP="00844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782B" w14:textId="5297E88D" w:rsidR="008446B6" w:rsidRDefault="008446B6">
    <w:pPr>
      <w:pStyle w:val="Header"/>
    </w:pPr>
    <w:r>
      <w:rPr>
        <w:noProof/>
        <w:lang w:eastAsia="en-GB"/>
      </w:rPr>
      <w:drawing>
        <wp:anchor distT="0" distB="0" distL="114300" distR="114300" simplePos="0" relativeHeight="251659264" behindDoc="1" locked="0" layoutInCell="1" allowOverlap="1" wp14:anchorId="28C153B3" wp14:editId="565A50B3">
          <wp:simplePos x="0" y="0"/>
          <wp:positionH relativeFrom="page">
            <wp:align>left</wp:align>
          </wp:positionH>
          <wp:positionV relativeFrom="paragraph">
            <wp:posOffset>-457200</wp:posOffset>
          </wp:positionV>
          <wp:extent cx="7572471" cy="1181100"/>
          <wp:effectExtent l="0" t="0" r="0" b="0"/>
          <wp:wrapNone/>
          <wp:docPr id="1794086555" name="Picture 179408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chuan-tr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471"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4FAC"/>
    <w:multiLevelType w:val="multilevel"/>
    <w:tmpl w:val="957AD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C9074D"/>
    <w:multiLevelType w:val="multilevel"/>
    <w:tmpl w:val="7A1AA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DD52CE3"/>
    <w:multiLevelType w:val="multilevel"/>
    <w:tmpl w:val="8F4A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728948">
    <w:abstractNumId w:val="2"/>
  </w:num>
  <w:num w:numId="2" w16cid:durableId="1928997403">
    <w:abstractNumId w:val="0"/>
  </w:num>
  <w:num w:numId="3" w16cid:durableId="1653413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grammar="clean"/>
  <w:defaultTabStop w:val="720"/>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FA"/>
    <w:rsid w:val="000D6650"/>
    <w:rsid w:val="00115BCC"/>
    <w:rsid w:val="001F0607"/>
    <w:rsid w:val="002712B3"/>
    <w:rsid w:val="00353244"/>
    <w:rsid w:val="00390AD0"/>
    <w:rsid w:val="005E6CB4"/>
    <w:rsid w:val="00674710"/>
    <w:rsid w:val="007A0178"/>
    <w:rsid w:val="008144D3"/>
    <w:rsid w:val="008446B6"/>
    <w:rsid w:val="008721CB"/>
    <w:rsid w:val="00890C35"/>
    <w:rsid w:val="00910B76"/>
    <w:rsid w:val="0096333F"/>
    <w:rsid w:val="009E1895"/>
    <w:rsid w:val="00A81050"/>
    <w:rsid w:val="00A825FA"/>
    <w:rsid w:val="00B03BFB"/>
    <w:rsid w:val="00BD6890"/>
    <w:rsid w:val="00C71506"/>
    <w:rsid w:val="00D25757"/>
    <w:rsid w:val="00D57D87"/>
    <w:rsid w:val="00DD6C38"/>
    <w:rsid w:val="00E53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7F33F"/>
  <w15:chartTrackingRefBased/>
  <w15:docId w15:val="{6EB20A86-75D2-4448-BD2E-FB2E4ACD4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5FA"/>
    <w:pPr>
      <w:spacing w:after="0" w:line="240" w:lineRule="auto"/>
    </w:pPr>
    <w:rPr>
      <w:rFonts w:ascii="Arial" w:eastAsia="Arial" w:hAnsi="Arial" w:cs="Arial"/>
      <w:kern w:val="0"/>
      <w:sz w:val="20"/>
      <w:szCs w:val="20"/>
      <w:lang w:val="en-GB"/>
      <w14:ligatures w14:val="none"/>
    </w:rPr>
  </w:style>
  <w:style w:type="paragraph" w:styleId="Heading1">
    <w:name w:val="heading 1"/>
    <w:basedOn w:val="Normal"/>
    <w:next w:val="Normal"/>
    <w:link w:val="Heading1Char"/>
    <w:uiPriority w:val="9"/>
    <w:qFormat/>
    <w:rsid w:val="00A82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2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5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5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5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5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5FA"/>
    <w:rPr>
      <w:rFonts w:eastAsiaTheme="majorEastAsia" w:cstheme="majorBidi"/>
      <w:color w:val="272727" w:themeColor="text1" w:themeTint="D8"/>
    </w:rPr>
  </w:style>
  <w:style w:type="paragraph" w:styleId="Title">
    <w:name w:val="Title"/>
    <w:basedOn w:val="Normal"/>
    <w:next w:val="Normal"/>
    <w:link w:val="TitleChar"/>
    <w:uiPriority w:val="10"/>
    <w:qFormat/>
    <w:rsid w:val="00A825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5FA"/>
    <w:pPr>
      <w:spacing w:before="160"/>
      <w:jc w:val="center"/>
    </w:pPr>
    <w:rPr>
      <w:i/>
      <w:iCs/>
      <w:color w:val="404040" w:themeColor="text1" w:themeTint="BF"/>
    </w:rPr>
  </w:style>
  <w:style w:type="character" w:customStyle="1" w:styleId="QuoteChar">
    <w:name w:val="Quote Char"/>
    <w:basedOn w:val="DefaultParagraphFont"/>
    <w:link w:val="Quote"/>
    <w:uiPriority w:val="29"/>
    <w:rsid w:val="00A825FA"/>
    <w:rPr>
      <w:i/>
      <w:iCs/>
      <w:color w:val="404040" w:themeColor="text1" w:themeTint="BF"/>
    </w:rPr>
  </w:style>
  <w:style w:type="paragraph" w:styleId="ListParagraph">
    <w:name w:val="List Paragraph"/>
    <w:basedOn w:val="Normal"/>
    <w:uiPriority w:val="34"/>
    <w:qFormat/>
    <w:rsid w:val="00A825FA"/>
    <w:pPr>
      <w:ind w:left="720"/>
      <w:contextualSpacing/>
    </w:pPr>
  </w:style>
  <w:style w:type="character" w:styleId="IntenseEmphasis">
    <w:name w:val="Intense Emphasis"/>
    <w:basedOn w:val="DefaultParagraphFont"/>
    <w:uiPriority w:val="21"/>
    <w:qFormat/>
    <w:rsid w:val="00A825FA"/>
    <w:rPr>
      <w:i/>
      <w:iCs/>
      <w:color w:val="0F4761" w:themeColor="accent1" w:themeShade="BF"/>
    </w:rPr>
  </w:style>
  <w:style w:type="paragraph" w:styleId="IntenseQuote">
    <w:name w:val="Intense Quote"/>
    <w:basedOn w:val="Normal"/>
    <w:next w:val="Normal"/>
    <w:link w:val="IntenseQuoteChar"/>
    <w:uiPriority w:val="30"/>
    <w:qFormat/>
    <w:rsid w:val="00A82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5FA"/>
    <w:rPr>
      <w:i/>
      <w:iCs/>
      <w:color w:val="0F4761" w:themeColor="accent1" w:themeShade="BF"/>
    </w:rPr>
  </w:style>
  <w:style w:type="character" w:styleId="IntenseReference">
    <w:name w:val="Intense Reference"/>
    <w:basedOn w:val="DefaultParagraphFont"/>
    <w:uiPriority w:val="32"/>
    <w:qFormat/>
    <w:rsid w:val="00A825FA"/>
    <w:rPr>
      <w:b/>
      <w:bCs/>
      <w:smallCaps/>
      <w:color w:val="0F4761" w:themeColor="accent1" w:themeShade="BF"/>
      <w:spacing w:val="5"/>
    </w:rPr>
  </w:style>
  <w:style w:type="paragraph" w:styleId="Header">
    <w:name w:val="header"/>
    <w:basedOn w:val="Normal"/>
    <w:link w:val="HeaderChar"/>
    <w:uiPriority w:val="99"/>
    <w:unhideWhenUsed/>
    <w:rsid w:val="008446B6"/>
    <w:pPr>
      <w:tabs>
        <w:tab w:val="center" w:pos="4680"/>
        <w:tab w:val="right" w:pos="9360"/>
      </w:tabs>
    </w:pPr>
  </w:style>
  <w:style w:type="character" w:customStyle="1" w:styleId="HeaderChar">
    <w:name w:val="Header Char"/>
    <w:basedOn w:val="DefaultParagraphFont"/>
    <w:link w:val="Header"/>
    <w:uiPriority w:val="99"/>
    <w:rsid w:val="008446B6"/>
    <w:rPr>
      <w:rFonts w:ascii="Arial" w:eastAsia="Arial" w:hAnsi="Arial" w:cs="Arial"/>
      <w:kern w:val="0"/>
      <w:sz w:val="20"/>
      <w:szCs w:val="20"/>
      <w:lang w:val="en-GB"/>
      <w14:ligatures w14:val="none"/>
    </w:rPr>
  </w:style>
  <w:style w:type="paragraph" w:styleId="Footer">
    <w:name w:val="footer"/>
    <w:basedOn w:val="Normal"/>
    <w:link w:val="FooterChar"/>
    <w:uiPriority w:val="99"/>
    <w:unhideWhenUsed/>
    <w:rsid w:val="008446B6"/>
    <w:pPr>
      <w:tabs>
        <w:tab w:val="center" w:pos="4680"/>
        <w:tab w:val="right" w:pos="9360"/>
      </w:tabs>
    </w:pPr>
  </w:style>
  <w:style w:type="character" w:customStyle="1" w:styleId="FooterChar">
    <w:name w:val="Footer Char"/>
    <w:basedOn w:val="DefaultParagraphFont"/>
    <w:link w:val="Footer"/>
    <w:uiPriority w:val="99"/>
    <w:rsid w:val="008446B6"/>
    <w:rPr>
      <w:rFonts w:ascii="Arial" w:eastAsia="Arial" w:hAnsi="Arial" w:cs="Arial"/>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Pham Van</dc:creator>
  <cp:keywords/>
  <dc:description/>
  <cp:lastModifiedBy>Home</cp:lastModifiedBy>
  <cp:revision>2</cp:revision>
  <dcterms:created xsi:type="dcterms:W3CDTF">2026-09-08T09:01:00Z</dcterms:created>
  <dcterms:modified xsi:type="dcterms:W3CDTF">2026-09-08T09:01:00Z</dcterms:modified>
</cp:coreProperties>
</file>